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7C" w:rsidRPr="007E577D" w:rsidRDefault="007E577D" w:rsidP="007E5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В ходе государственной итоговой аттестации выпускник </w:t>
      </w:r>
      <w:proofErr w:type="spellStart"/>
      <w:r w:rsidRPr="007E577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E577D">
        <w:rPr>
          <w:rFonts w:ascii="Times New Roman" w:hAnsi="Times New Roman"/>
          <w:sz w:val="28"/>
          <w:szCs w:val="28"/>
        </w:rPr>
        <w:t xml:space="preserve"> должен продемонстрировать знания в области истории русского искусства в соответствии с выбранной научной специализацией, а также навыки описания и формально-стилистического анализа памятников архитектуры, скульптуры, изобразительного и декоративно-прикладного искусства. Для подготовки к государственному экзамену выпускнику предлагается список вопросов по русскому искусству. На экзамене выпускник получает любые два вопроса из списка. </w:t>
      </w: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77D">
        <w:rPr>
          <w:rFonts w:ascii="Times New Roman" w:hAnsi="Times New Roman"/>
          <w:b/>
          <w:sz w:val="28"/>
          <w:szCs w:val="28"/>
        </w:rPr>
        <w:t>Вопросы по искусству Древней Руси</w:t>
      </w: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Русская архитектура конца </w:t>
      </w:r>
      <w:r w:rsidRPr="007E577D">
        <w:rPr>
          <w:rFonts w:ascii="Times New Roman" w:hAnsi="Times New Roman"/>
          <w:sz w:val="28"/>
          <w:szCs w:val="28"/>
          <w:lang w:val="en-US"/>
        </w:rPr>
        <w:t>X</w:t>
      </w:r>
      <w:r w:rsidRPr="007E577D">
        <w:rPr>
          <w:rFonts w:ascii="Times New Roman" w:hAnsi="Times New Roman"/>
          <w:sz w:val="28"/>
          <w:szCs w:val="28"/>
        </w:rPr>
        <w:t xml:space="preserve"> – начала </w:t>
      </w:r>
      <w:r w:rsidRPr="007E577D">
        <w:rPr>
          <w:rFonts w:ascii="Times New Roman" w:hAnsi="Times New Roman"/>
          <w:sz w:val="28"/>
          <w:szCs w:val="28"/>
          <w:lang w:val="en-US"/>
        </w:rPr>
        <w:t>XII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Русская живопись конца </w:t>
      </w:r>
      <w:r w:rsidRPr="007E577D">
        <w:rPr>
          <w:rFonts w:ascii="Times New Roman" w:hAnsi="Times New Roman"/>
          <w:sz w:val="28"/>
          <w:szCs w:val="28"/>
          <w:lang w:val="en-US"/>
        </w:rPr>
        <w:t>X</w:t>
      </w:r>
      <w:r w:rsidRPr="007E577D">
        <w:rPr>
          <w:rFonts w:ascii="Times New Roman" w:hAnsi="Times New Roman"/>
          <w:sz w:val="28"/>
          <w:szCs w:val="28"/>
        </w:rPr>
        <w:t xml:space="preserve"> – начала </w:t>
      </w:r>
      <w:r w:rsidRPr="007E577D">
        <w:rPr>
          <w:rFonts w:ascii="Times New Roman" w:hAnsi="Times New Roman"/>
          <w:sz w:val="28"/>
          <w:szCs w:val="28"/>
          <w:lang w:val="en-US"/>
        </w:rPr>
        <w:t>XII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Архитектура русских земель </w:t>
      </w:r>
      <w:r w:rsidRPr="007E577D">
        <w:rPr>
          <w:rFonts w:ascii="Times New Roman" w:hAnsi="Times New Roman"/>
          <w:sz w:val="28"/>
          <w:szCs w:val="28"/>
          <w:lang w:val="en-US"/>
        </w:rPr>
        <w:t>XII</w:t>
      </w:r>
      <w:r w:rsidRPr="007E577D">
        <w:rPr>
          <w:rFonts w:ascii="Times New Roman" w:hAnsi="Times New Roman"/>
          <w:sz w:val="28"/>
          <w:szCs w:val="28"/>
        </w:rPr>
        <w:t xml:space="preserve"> – первой трети </w:t>
      </w:r>
      <w:r w:rsidRPr="007E577D">
        <w:rPr>
          <w:rFonts w:ascii="Times New Roman" w:hAnsi="Times New Roman"/>
          <w:sz w:val="28"/>
          <w:szCs w:val="28"/>
          <w:lang w:val="en-US"/>
        </w:rPr>
        <w:t>XIII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Монументальная живопись и иконопись </w:t>
      </w:r>
      <w:r w:rsidRPr="007E577D">
        <w:rPr>
          <w:rFonts w:ascii="Times New Roman" w:hAnsi="Times New Roman"/>
          <w:sz w:val="28"/>
          <w:szCs w:val="28"/>
          <w:lang w:val="en-US"/>
        </w:rPr>
        <w:t>XII</w:t>
      </w:r>
      <w:r w:rsidRPr="007E577D">
        <w:rPr>
          <w:rFonts w:ascii="Times New Roman" w:hAnsi="Times New Roman"/>
          <w:sz w:val="28"/>
          <w:szCs w:val="28"/>
        </w:rPr>
        <w:t xml:space="preserve"> – первой трети </w:t>
      </w:r>
      <w:r w:rsidRPr="007E577D">
        <w:rPr>
          <w:rFonts w:ascii="Times New Roman" w:hAnsi="Times New Roman"/>
          <w:sz w:val="28"/>
          <w:szCs w:val="28"/>
          <w:lang w:val="en-US"/>
        </w:rPr>
        <w:t>XIII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Русская архитектура конца </w:t>
      </w:r>
      <w:r w:rsidRPr="007E577D">
        <w:rPr>
          <w:rFonts w:ascii="Times New Roman" w:hAnsi="Times New Roman"/>
          <w:sz w:val="28"/>
          <w:szCs w:val="28"/>
          <w:lang w:val="en-US"/>
        </w:rPr>
        <w:t>XIII</w:t>
      </w:r>
      <w:r w:rsidRPr="007E577D">
        <w:rPr>
          <w:rFonts w:ascii="Times New Roman" w:hAnsi="Times New Roman"/>
          <w:sz w:val="28"/>
          <w:szCs w:val="28"/>
        </w:rPr>
        <w:t xml:space="preserve"> – середины </w:t>
      </w:r>
      <w:r w:rsidRPr="007E577D">
        <w:rPr>
          <w:rFonts w:ascii="Times New Roman" w:hAnsi="Times New Roman"/>
          <w:sz w:val="28"/>
          <w:szCs w:val="28"/>
          <w:lang w:val="en-US"/>
        </w:rPr>
        <w:t>XV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Русская живопись </w:t>
      </w:r>
      <w:r w:rsidRPr="007E577D">
        <w:rPr>
          <w:rFonts w:ascii="Times New Roman" w:hAnsi="Times New Roman"/>
          <w:sz w:val="28"/>
          <w:szCs w:val="28"/>
          <w:lang w:val="en-US"/>
        </w:rPr>
        <w:t>XIII</w:t>
      </w:r>
      <w:r w:rsidRPr="007E577D">
        <w:rPr>
          <w:rFonts w:ascii="Times New Roman" w:hAnsi="Times New Roman"/>
          <w:sz w:val="28"/>
          <w:szCs w:val="28"/>
        </w:rPr>
        <w:t xml:space="preserve"> – середины </w:t>
      </w:r>
      <w:r w:rsidRPr="007E577D">
        <w:rPr>
          <w:rFonts w:ascii="Times New Roman" w:hAnsi="Times New Roman"/>
          <w:sz w:val="28"/>
          <w:szCs w:val="28"/>
          <w:lang w:val="en-US"/>
        </w:rPr>
        <w:t>XIV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Русская живопись второй половины </w:t>
      </w:r>
      <w:r w:rsidRPr="007E577D">
        <w:rPr>
          <w:rFonts w:ascii="Times New Roman" w:hAnsi="Times New Roman"/>
          <w:sz w:val="28"/>
          <w:szCs w:val="28"/>
          <w:lang w:val="en-US"/>
        </w:rPr>
        <w:t>XIV</w:t>
      </w:r>
      <w:r w:rsidRPr="007E577D">
        <w:rPr>
          <w:rFonts w:ascii="Times New Roman" w:hAnsi="Times New Roman"/>
          <w:sz w:val="28"/>
          <w:szCs w:val="28"/>
        </w:rPr>
        <w:t xml:space="preserve"> – </w:t>
      </w:r>
      <w:r w:rsidRPr="007E577D">
        <w:rPr>
          <w:rFonts w:ascii="Times New Roman" w:hAnsi="Times New Roman"/>
          <w:sz w:val="28"/>
          <w:szCs w:val="28"/>
          <w:lang w:val="en-US"/>
        </w:rPr>
        <w:t>XV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Архитектура Московского государства последней четверти </w:t>
      </w:r>
      <w:r w:rsidRPr="007E577D">
        <w:rPr>
          <w:rFonts w:ascii="Times New Roman" w:hAnsi="Times New Roman"/>
          <w:sz w:val="28"/>
          <w:szCs w:val="28"/>
          <w:lang w:val="en-US"/>
        </w:rPr>
        <w:t>XV</w:t>
      </w:r>
      <w:r w:rsidRPr="007E577D">
        <w:rPr>
          <w:rFonts w:ascii="Times New Roman" w:hAnsi="Times New Roman"/>
          <w:sz w:val="28"/>
          <w:szCs w:val="28"/>
        </w:rPr>
        <w:t xml:space="preserve"> – </w:t>
      </w:r>
      <w:r w:rsidRPr="007E577D">
        <w:rPr>
          <w:rFonts w:ascii="Times New Roman" w:hAnsi="Times New Roman"/>
          <w:sz w:val="28"/>
          <w:szCs w:val="28"/>
          <w:lang w:val="en-US"/>
        </w:rPr>
        <w:t>XVI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Русская живопись </w:t>
      </w:r>
      <w:r w:rsidRPr="007E577D">
        <w:rPr>
          <w:rFonts w:ascii="Times New Roman" w:hAnsi="Times New Roman"/>
          <w:sz w:val="28"/>
          <w:szCs w:val="28"/>
          <w:lang w:val="en-US"/>
        </w:rPr>
        <w:t>XVI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Русская архитектура и живопись </w:t>
      </w:r>
      <w:r w:rsidRPr="007E577D">
        <w:rPr>
          <w:rFonts w:ascii="Times New Roman" w:hAnsi="Times New Roman"/>
          <w:sz w:val="28"/>
          <w:szCs w:val="28"/>
          <w:lang w:val="en-US"/>
        </w:rPr>
        <w:t>XVII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77D">
        <w:rPr>
          <w:rFonts w:ascii="Times New Roman" w:hAnsi="Times New Roman"/>
          <w:b/>
          <w:sz w:val="28"/>
          <w:szCs w:val="28"/>
        </w:rPr>
        <w:t>Вопросы по русскому искусству XVIII в.</w:t>
      </w: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Основы градостроительной системы Петербурга и схема его планировки.</w:t>
      </w: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Черты гражданского и церковного зодчества Москвы последнего десятилетия XVII в. в архитектуре Нового времени.</w:t>
      </w: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Роль, содержание, место и материал скульптуры в зданиях петровского времени. Ее представители. </w:t>
      </w: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Основные черты «елизаветинского» барокко. Сферы и длительность пребывания стиля. </w:t>
      </w: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Основные черты зодчества раннего классицизма. Творчество Ж.-Б. </w:t>
      </w:r>
      <w:proofErr w:type="spellStart"/>
      <w:r w:rsidRPr="007E577D">
        <w:rPr>
          <w:rFonts w:ascii="Times New Roman" w:hAnsi="Times New Roman"/>
          <w:sz w:val="28"/>
          <w:szCs w:val="28"/>
        </w:rPr>
        <w:t>Валлен-Деламота</w:t>
      </w:r>
      <w:proofErr w:type="spellEnd"/>
      <w:r w:rsidRPr="007E577D">
        <w:rPr>
          <w:rFonts w:ascii="Times New Roman" w:hAnsi="Times New Roman"/>
          <w:sz w:val="28"/>
          <w:szCs w:val="28"/>
        </w:rPr>
        <w:t>.</w:t>
      </w: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Зрелый или строгий классицизм второй половины 1780-х – 1790-х гг. в его взаимоотношении с ранним классицизмом и ампиром.</w:t>
      </w: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Живопись Ф. </w:t>
      </w:r>
      <w:proofErr w:type="spellStart"/>
      <w:r w:rsidRPr="007E577D">
        <w:rPr>
          <w:rFonts w:ascii="Times New Roman" w:hAnsi="Times New Roman"/>
          <w:sz w:val="28"/>
          <w:szCs w:val="28"/>
        </w:rPr>
        <w:t>Рокотова</w:t>
      </w:r>
      <w:proofErr w:type="spellEnd"/>
      <w:r w:rsidRPr="007E577D">
        <w:rPr>
          <w:rFonts w:ascii="Times New Roman" w:hAnsi="Times New Roman"/>
          <w:sz w:val="28"/>
          <w:szCs w:val="28"/>
        </w:rPr>
        <w:t xml:space="preserve"> и проблема «интимного портрета».</w:t>
      </w: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Семен Щедрин и ландшафтная живопись и графика в России конца XVIII – начала XIX в. </w:t>
      </w: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Русская тема в жанровой живописи и графике XVIII в. у отечественных и иностранных мастеров.</w:t>
      </w:r>
    </w:p>
    <w:p w:rsidR="00B17A7C" w:rsidRPr="007E577D" w:rsidRDefault="00B17A7C" w:rsidP="00B17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Русский провинциальный портрет и его особенности.</w:t>
      </w:r>
    </w:p>
    <w:p w:rsidR="00B17A7C" w:rsidRPr="007E577D" w:rsidRDefault="00B17A7C" w:rsidP="00B17A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77D">
        <w:rPr>
          <w:rFonts w:ascii="Times New Roman" w:hAnsi="Times New Roman"/>
          <w:b/>
          <w:sz w:val="28"/>
          <w:szCs w:val="28"/>
        </w:rPr>
        <w:t xml:space="preserve">Вопросы по русскому искусству </w:t>
      </w:r>
      <w:r w:rsidRPr="007E577D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7E577D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Графические портреты О. Кипренского</w:t>
      </w: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E577D">
        <w:rPr>
          <w:rFonts w:ascii="Times New Roman" w:hAnsi="Times New Roman"/>
          <w:sz w:val="28"/>
          <w:szCs w:val="28"/>
        </w:rPr>
        <w:t>Видопись</w:t>
      </w:r>
      <w:proofErr w:type="spellEnd"/>
      <w:r w:rsidRPr="007E577D">
        <w:rPr>
          <w:rFonts w:ascii="Times New Roman" w:hAnsi="Times New Roman"/>
          <w:sz w:val="28"/>
          <w:szCs w:val="28"/>
        </w:rPr>
        <w:t xml:space="preserve"> и пейзаж в начале </w:t>
      </w:r>
      <w:r w:rsidRPr="007E577D">
        <w:rPr>
          <w:rFonts w:ascii="Times New Roman" w:hAnsi="Times New Roman"/>
          <w:sz w:val="28"/>
          <w:szCs w:val="28"/>
          <w:lang w:val="en-US"/>
        </w:rPr>
        <w:t>XIX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Италия в пейзажах Матвеева и Сильвестра Щедрина</w:t>
      </w: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Ансамбли ампирных площадей. Санкт-Петербург – Москва</w:t>
      </w: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Судьба жанра в русской живописи конца </w:t>
      </w:r>
      <w:r w:rsidRPr="007E577D">
        <w:rPr>
          <w:rFonts w:ascii="Times New Roman" w:hAnsi="Times New Roman"/>
          <w:sz w:val="28"/>
          <w:szCs w:val="28"/>
          <w:lang w:val="en-US"/>
        </w:rPr>
        <w:t>XIX</w:t>
      </w:r>
      <w:r w:rsidRPr="007E577D">
        <w:rPr>
          <w:rFonts w:ascii="Times New Roman" w:hAnsi="Times New Roman"/>
          <w:sz w:val="28"/>
          <w:szCs w:val="28"/>
        </w:rPr>
        <w:t xml:space="preserve"> – начала </w:t>
      </w:r>
      <w:r w:rsidRPr="007E577D">
        <w:rPr>
          <w:rFonts w:ascii="Times New Roman" w:hAnsi="Times New Roman"/>
          <w:sz w:val="28"/>
          <w:szCs w:val="28"/>
          <w:lang w:val="en-US"/>
        </w:rPr>
        <w:t>XX</w:t>
      </w:r>
      <w:r w:rsidRPr="007E577D">
        <w:rPr>
          <w:rFonts w:ascii="Times New Roman" w:hAnsi="Times New Roman"/>
          <w:sz w:val="28"/>
          <w:szCs w:val="28"/>
        </w:rPr>
        <w:t xml:space="preserve"> века</w:t>
      </w: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Историзм в архитектуре </w:t>
      </w:r>
      <w:r w:rsidRPr="007E577D">
        <w:rPr>
          <w:rFonts w:ascii="Times New Roman" w:hAnsi="Times New Roman"/>
          <w:sz w:val="28"/>
          <w:szCs w:val="28"/>
          <w:lang w:val="en-US"/>
        </w:rPr>
        <w:t xml:space="preserve">XIX </w:t>
      </w:r>
      <w:r w:rsidRPr="007E577D">
        <w:rPr>
          <w:rFonts w:ascii="Times New Roman" w:hAnsi="Times New Roman"/>
          <w:sz w:val="28"/>
          <w:szCs w:val="28"/>
        </w:rPr>
        <w:t>века</w:t>
      </w: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Скульптура эпохи романтизма и историзма. Роль в сложении ансамбля и в синтезе искусств</w:t>
      </w: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Пейзажная живопись 1860 – 1900х годов</w:t>
      </w: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Александр Иванов</w:t>
      </w:r>
    </w:p>
    <w:p w:rsidR="00B17A7C" w:rsidRPr="007E577D" w:rsidRDefault="00B17A7C" w:rsidP="00B17A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Основные художественные группировки после передвижничества</w:t>
      </w: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7C" w:rsidRPr="007E577D" w:rsidRDefault="007E577D" w:rsidP="007E577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7E577D">
        <w:rPr>
          <w:rFonts w:ascii="Times New Roman" w:hAnsi="Times New Roman"/>
          <w:b/>
          <w:sz w:val="28"/>
          <w:szCs w:val="28"/>
        </w:rPr>
        <w:t>В</w:t>
      </w:r>
      <w:r w:rsidR="00B17A7C" w:rsidRPr="007E577D">
        <w:rPr>
          <w:rFonts w:ascii="Times New Roman" w:hAnsi="Times New Roman"/>
          <w:b/>
          <w:sz w:val="28"/>
          <w:szCs w:val="28"/>
        </w:rPr>
        <w:t>опросы по русскому искусст</w:t>
      </w:r>
      <w:bookmarkStart w:id="0" w:name="_GoBack"/>
      <w:bookmarkEnd w:id="0"/>
      <w:r w:rsidR="00B17A7C" w:rsidRPr="007E577D">
        <w:rPr>
          <w:rFonts w:ascii="Times New Roman" w:hAnsi="Times New Roman"/>
          <w:b/>
          <w:sz w:val="28"/>
          <w:szCs w:val="28"/>
        </w:rPr>
        <w:t>ву</w:t>
      </w:r>
      <w:r w:rsidR="00BE5794" w:rsidRPr="007E577D">
        <w:rPr>
          <w:rFonts w:ascii="Times New Roman" w:hAnsi="Times New Roman"/>
          <w:b/>
          <w:sz w:val="28"/>
          <w:szCs w:val="28"/>
        </w:rPr>
        <w:t xml:space="preserve"> </w:t>
      </w:r>
      <w:r w:rsidR="00B17A7C" w:rsidRPr="007E577D">
        <w:rPr>
          <w:rFonts w:ascii="Times New Roman" w:hAnsi="Times New Roman"/>
          <w:b/>
          <w:sz w:val="28"/>
          <w:szCs w:val="28"/>
        </w:rPr>
        <w:t>ХХ века</w:t>
      </w:r>
    </w:p>
    <w:p w:rsidR="00B17A7C" w:rsidRPr="007E577D" w:rsidRDefault="00B17A7C" w:rsidP="00B17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7C" w:rsidRPr="007E577D" w:rsidRDefault="00B17A7C" w:rsidP="00B17A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Авангард в России. Основные направления, выставки, лидеры.</w:t>
      </w:r>
    </w:p>
    <w:p w:rsidR="00B17A7C" w:rsidRPr="007E577D" w:rsidRDefault="00B17A7C" w:rsidP="00B17A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Выставочное объединение «Бубновый валет». Влияние французского искусства. Творчество основных представителей.</w:t>
      </w:r>
    </w:p>
    <w:p w:rsidR="00B17A7C" w:rsidRPr="007E577D" w:rsidRDefault="00B17A7C" w:rsidP="00B17A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Искусство и Октябрьская революция. Актуализация агитационно-массовых видов и форм творчества. «План монументальной пропаганды». Оформление массовых революционных празднеств. Развитие политического плаката.</w:t>
      </w:r>
    </w:p>
    <w:p w:rsidR="00B17A7C" w:rsidRPr="007E577D" w:rsidRDefault="00B17A7C" w:rsidP="00B17A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Художественные группировки, стилевые течения, направления и личность художника в искусстве 1920-х гг.</w:t>
      </w:r>
    </w:p>
    <w:p w:rsidR="00B17A7C" w:rsidRPr="007E577D" w:rsidRDefault="00B17A7C" w:rsidP="00B17A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Конструктивизм и «производственное искусство». Роль ВХУТЕМАСа. Главные события, теория, мастера.</w:t>
      </w:r>
    </w:p>
    <w:p w:rsidR="00591EB8" w:rsidRPr="007E577D" w:rsidRDefault="00591EB8" w:rsidP="00591E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Советское искусство 1930-50-х гг. Сложение доктрины социалистического реализма. Ключевые выставки, специфика, художники.</w:t>
      </w:r>
    </w:p>
    <w:p w:rsidR="00591EB8" w:rsidRPr="007E577D" w:rsidRDefault="00591EB8" w:rsidP="00591E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«Суровый стиль» как воплощение поисков нового стиля в искусстве эпохи «оттепели». Характерные особенности, выставки, лидеры.</w:t>
      </w:r>
    </w:p>
    <w:p w:rsidR="00591EB8" w:rsidRPr="007E577D" w:rsidRDefault="00591EB8" w:rsidP="00591E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Искусство 1970-х гг. Тенденции, направления, основные представители.</w:t>
      </w:r>
    </w:p>
    <w:p w:rsidR="00591EB8" w:rsidRPr="007E577D" w:rsidRDefault="00591EB8" w:rsidP="00591E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«Другое искусство». Основные тенденции, выставки, художники.</w:t>
      </w:r>
    </w:p>
    <w:p w:rsidR="00591EB8" w:rsidRPr="007E577D" w:rsidRDefault="00591EB8" w:rsidP="00591E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Современное искусство. Основные тенденции.</w:t>
      </w:r>
    </w:p>
    <w:p w:rsidR="00591EB8" w:rsidRPr="007E577D" w:rsidRDefault="00591EB8" w:rsidP="00591EB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91EB8" w:rsidRPr="007E577D" w:rsidRDefault="00591EB8" w:rsidP="00591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77D">
        <w:rPr>
          <w:rFonts w:ascii="Times New Roman" w:hAnsi="Times New Roman"/>
          <w:b/>
          <w:sz w:val="28"/>
          <w:szCs w:val="28"/>
        </w:rPr>
        <w:t>Вопросы по русской архитектуре ХХ века</w:t>
      </w:r>
    </w:p>
    <w:p w:rsidR="00591EB8" w:rsidRPr="007E577D" w:rsidRDefault="00591EB8" w:rsidP="00591EB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E5794" w:rsidRPr="007E577D" w:rsidRDefault="00BE5794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Архитектура первых послереволюционных лет. Проблема синтеза искусств, участие в новых формах жизни искусства. Агитационно-массовые празднества, всесоюзные выставки. ВСХВ 1923 года </w:t>
      </w:r>
    </w:p>
    <w:p w:rsidR="00BE5794" w:rsidRPr="007E577D" w:rsidRDefault="00BE5794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Центры архитектурного образования архитекторов авангарда. ИНХУК, ГИНХУК, ВХУТЕМАС – ВХУТЕИН. Особенности педагогической системы</w:t>
      </w:r>
    </w:p>
    <w:p w:rsidR="00BE5794" w:rsidRPr="007E577D" w:rsidRDefault="00BE5794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lastRenderedPageBreak/>
        <w:t>Новые типы зданий в архитектуре первых послеоктябрьских лет: Планетарии, крематории, Дворцы культуры, Дома-коммуны, Рабочие клубы. Диалог неоклассики и авангарда в разработке новой типологии зданий.</w:t>
      </w:r>
    </w:p>
    <w:p w:rsidR="00BE5794" w:rsidRPr="007E577D" w:rsidRDefault="00BE5794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Эстетика рационализма и конструктивизма в архитектуре. АСНОВА и ОСА. </w:t>
      </w:r>
      <w:proofErr w:type="spellStart"/>
      <w:r w:rsidRPr="007E577D">
        <w:rPr>
          <w:rFonts w:ascii="Times New Roman" w:hAnsi="Times New Roman"/>
          <w:sz w:val="28"/>
          <w:szCs w:val="28"/>
        </w:rPr>
        <w:t>Ладовский</w:t>
      </w:r>
      <w:proofErr w:type="spellEnd"/>
      <w:r w:rsidRPr="007E577D">
        <w:rPr>
          <w:rFonts w:ascii="Times New Roman" w:hAnsi="Times New Roman"/>
          <w:sz w:val="28"/>
          <w:szCs w:val="28"/>
        </w:rPr>
        <w:t xml:space="preserve"> и братья Веснины</w:t>
      </w:r>
    </w:p>
    <w:p w:rsidR="00BE5794" w:rsidRPr="007E577D" w:rsidRDefault="00BE5794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Творчество Мельникова, Леонидова, братьев Голосовых, Якова </w:t>
      </w:r>
      <w:proofErr w:type="spellStart"/>
      <w:r w:rsidRPr="007E577D">
        <w:rPr>
          <w:rFonts w:ascii="Times New Roman" w:hAnsi="Times New Roman"/>
          <w:sz w:val="28"/>
          <w:szCs w:val="28"/>
        </w:rPr>
        <w:t>Чернихова</w:t>
      </w:r>
      <w:proofErr w:type="spellEnd"/>
      <w:r w:rsidRPr="007E577D">
        <w:rPr>
          <w:rFonts w:ascii="Times New Roman" w:hAnsi="Times New Roman"/>
          <w:sz w:val="28"/>
          <w:szCs w:val="28"/>
        </w:rPr>
        <w:t>. Их вклад в архитектуру мирового авангарда</w:t>
      </w:r>
    </w:p>
    <w:p w:rsidR="00BE5794" w:rsidRPr="007E577D" w:rsidRDefault="00591EB8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Градостроительные идеи 1920 -1930-х годов. От идеи «города-сада» к плану «Большая Москва» С. Шестакова 1925 года и плану Москвы 1935 года. От утопий к тоталитаризму</w:t>
      </w:r>
    </w:p>
    <w:p w:rsidR="00B17A7C" w:rsidRPr="007E577D" w:rsidRDefault="00B17A7C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 xml:space="preserve">Архитектура 30 - 50-х годов </w:t>
      </w:r>
      <w:r w:rsidRPr="007E577D">
        <w:rPr>
          <w:rFonts w:ascii="Times New Roman" w:hAnsi="Times New Roman"/>
          <w:sz w:val="28"/>
          <w:szCs w:val="28"/>
          <w:lang w:val="en-US"/>
        </w:rPr>
        <w:t>XX</w:t>
      </w:r>
      <w:r w:rsidRPr="007E577D">
        <w:rPr>
          <w:rFonts w:ascii="Times New Roman" w:hAnsi="Times New Roman"/>
          <w:sz w:val="28"/>
          <w:szCs w:val="28"/>
        </w:rPr>
        <w:t xml:space="preserve"> века. Основные тенденции. Имена. Проекты. Московское метро, канал Москва – Волга, ВСХВ - ВДНХ</w:t>
      </w:r>
    </w:p>
    <w:p w:rsidR="00B17A7C" w:rsidRPr="007E577D" w:rsidRDefault="00B17A7C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Неоклассицизм в отечественной архитектуре начала 1900-х – 1950-х годов. Этапы. Идеи. Мастера. Иван Фомин, Иван Жолтовский. Алексей Щусев</w:t>
      </w:r>
    </w:p>
    <w:p w:rsidR="00B17A7C" w:rsidRPr="007E577D" w:rsidRDefault="00B17A7C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Интернациональный модернизм в архитектуре послевоенного времени. Памятники: Останкинская телебашня, Новый Арбат, московские театры и стадионы. Диалог с западноевропейской традицией</w:t>
      </w:r>
    </w:p>
    <w:p w:rsidR="00B17A7C" w:rsidRPr="007E577D" w:rsidRDefault="00B17A7C" w:rsidP="00591EB8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E577D">
        <w:rPr>
          <w:rFonts w:ascii="Times New Roman" w:hAnsi="Times New Roman"/>
          <w:sz w:val="28"/>
          <w:szCs w:val="28"/>
        </w:rPr>
        <w:t>Российская архитектура 1990 – 2000-х. Стилистические особенности. Основные мастерские и проекты.</w:t>
      </w:r>
    </w:p>
    <w:p w:rsidR="00686D3B" w:rsidRPr="007E577D" w:rsidRDefault="00686D3B">
      <w:pPr>
        <w:rPr>
          <w:rFonts w:ascii="Times New Roman" w:hAnsi="Times New Roman"/>
          <w:sz w:val="28"/>
          <w:szCs w:val="28"/>
        </w:rPr>
      </w:pPr>
    </w:p>
    <w:sectPr w:rsidR="00686D3B" w:rsidRPr="007E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4ACD"/>
    <w:multiLevelType w:val="hybridMultilevel"/>
    <w:tmpl w:val="9270749C"/>
    <w:lvl w:ilvl="0" w:tplc="F9C24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604D"/>
    <w:multiLevelType w:val="hybridMultilevel"/>
    <w:tmpl w:val="D436D130"/>
    <w:lvl w:ilvl="0" w:tplc="AB4AD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6CAE"/>
    <w:multiLevelType w:val="hybridMultilevel"/>
    <w:tmpl w:val="545CA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3A93"/>
    <w:multiLevelType w:val="hybridMultilevel"/>
    <w:tmpl w:val="A144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69B5"/>
    <w:multiLevelType w:val="hybridMultilevel"/>
    <w:tmpl w:val="1C78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02F"/>
    <w:multiLevelType w:val="hybridMultilevel"/>
    <w:tmpl w:val="8098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10773"/>
    <w:multiLevelType w:val="hybridMultilevel"/>
    <w:tmpl w:val="DB74A7B6"/>
    <w:lvl w:ilvl="0" w:tplc="F9C242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C"/>
    <w:rsid w:val="00074BFC"/>
    <w:rsid w:val="00591EB8"/>
    <w:rsid w:val="00686D3B"/>
    <w:rsid w:val="007E577D"/>
    <w:rsid w:val="00B17A7C"/>
    <w:rsid w:val="00B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4D1B-24D0-4A8F-BAC6-1B412F97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2016-03-30T12:13:00Z</dcterms:created>
  <dcterms:modified xsi:type="dcterms:W3CDTF">2016-12-05T20:02:00Z</dcterms:modified>
</cp:coreProperties>
</file>